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52 vom 16. Dezember 2024</w:t>
      </w:r>
    </w:p>
    <w:p>
      <w:r>
        <w:t>VS Kantonsgericht, 2024-12-16, FR</w:t>
      </w:r>
    </w:p>
    <w:p>
      <w:r>
        <w:rPr>
          <w:b/>
        </w:rPr>
        <w:t xml:space="preserve">Quelle: </w:t>
      </w:r>
      <w:r>
        <w:t>https://mcp.opencaselaw.ch/entscheid/vs_gerichte_F1 24 52</w:t>
      </w:r>
    </w:p>
    <w:p>
      <w:r>
        <w:t>FR: VS_GERICHTE F1 24 52 du 16 décembre 2024</w:t>
      </w:r>
    </w:p>
    <w:p>
      <w:r>
        <w:t>IT: VS_GERICHTE F1 24 52 del 16 dicembre 2024</w:t>
      </w:r>
    </w:p>
    <w:p>
      <w:pPr>
        <w:pStyle w:val="Heading2"/>
      </w:pPr>
      <w:r>
        <w:t>Regeste</w:t>
      </w:r>
    </w:p>
    <w:p>
      <w:r>
        <w:t>F1 24 52 (CCR 2023/18) ARRÊT DU 16 DÉCEMBRE 2024 Tribunal cantonal du Valais Cour de droit fiscal Composition : Frédéric Fellay, président ; Dr Thierry Schnyder, juge ; Didier Bourgeois, juge assesseur ; Julia Kamhi, greffière, en la cause X _________, recourant, représenté par Maître Dominique Morand, avocat, 1951 Sion contre COMMISSION CANTONALE D'IMPÔTS DES PERSONNES PHYSIQUES, autorité attaquée (Impôt sur le revenu et la fortune des personnes physiques, périodes fiscales 2015 à 2019) recours contre la décision sur réclamation du 6 janvier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8 février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du recourant est ainsi satisfaite. Celui-ci a été informé, le 14 octobre 2024, que l’arrêt rendu par la CCR le 22 juin 2023 avait été versé d’office en cause. Ont également été produits les comptes de pertes et profits annexés par le contribuable à ses déclarations d’impôts 2011 à 2014, qui attestent des opérations comptabilisées en lien avec le bien immobilier français. Les autres pièces dont la production a été offerte par le recourant, soit celles liées à son recours dans la procédure de rappel d’impôt afférant aux périodes 2007 à 2014 et ses relevés de cartes de crédit, ne sont pas nécessaires à la résolution du litige, comme on le verra ci-dessous (cf. infra consid. 3.4.1).</w:t>
      </w:r>
    </w:p>
    <w:p>
      <w:r>
        <w:t>- 10 -</w:t>
      </w:r>
    </w:p>
    <w:p>
      <w:r>
        <w:rPr>
          <w:b/>
        </w:rPr>
        <w:t>E. 2</w:t>
      </w:r>
    </w:p>
    <w:p>
      <w:r>
        <w:t>Le recourant a requis à titre préliminaire que la cause soit suspendue jusqu’à droit connu sur la procédure en rappel d’impôt des périodes fiscales 2007 à 2014. L’arrêt de la CCR y relatif ayant été rendu le 22 juin 2023 et étant entré en force, la demande de suspension est sans objet. II. Impôt fédéral direct Pertes reportées</w:t>
      </w:r>
    </w:p>
    <w:p>
      <w:r>
        <w:rPr>
          <w:b/>
        </w:rPr>
        <w:t>E. 3</w:t>
      </w:r>
    </w:p>
    <w:p>
      <w:r>
        <w:t>Le recourant conteste le refus du fisc de déduire de l’assiette de l’impôt les pertes reportées liées à son bien immobilier français, se prévalant de l’existence d’un établissement stable à l’étranger en vertu de l’art. 6 al. 3, 2ème phrase LIFD.</w:t>
      </w:r>
    </w:p>
    <w:p>
      <w:r>
        <w:rPr>
          <w:b/>
        </w:rPr>
        <w:t>E. 3.1</w:t>
      </w:r>
    </w:p>
    <w:p>
      <w:r>
        <w:t>Les personnes physiques qui, comme le recourant, sont domiciliées en Suisse, sont en principe imposables sur tous leurs revenus, y compris ceux de source étrangère, puisque l'assujettissement fondé sur un rattachement personnel est illimité ; cet assujettissement ne s'étend toutefois pas aux entreprises, aux établissements stables et aux immeubles situés à l'étranger (art. 6 al. 1 LIFD). Conformément à l’art. 6 al. 3, 2ème phrase LIFD,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(3ème phrase). Les dispositions prévues dans les conventions visant à éviter la double imposition sont réservées (4ème phrase). Il découle de ces dispositions que lorsque le contribuable possède un immeuble à l’étranger (appartenant à sa fortune commerciale ou privée), l’excédent de charges ou une éventuelle perte sur vente de l’immeuble ne peuvent être déduits en Suisse. Ils doivent cependant, le cas échéant, être pris en considération pour déterminer le taux d’imposition (art. 6 al. 3, 3ème phrase LIFD ; ATF 140 II 141 consid. 4 ; PASCHOUD/DE VRIES REILINGH, in : NOËL/AUBRY GIRARDIN [édit.], Commentaire romand, Impôt fédéral direct, nos 29m et 36 ad art. 6 LIFD ; OESTERHELT/SCHREIBER, in : ZWEIFEL/BEUSCH [édit.], Bundesgesetz über die direkte Bundessteuer, 4ème éd. 2022, n° 28 ad art. 6 LIFD). En revanche, lorsqu’une entreprise suisse possède un établissement stable à l’étranger, les résultats négatifs peuvent être déduits lors de la détermination de l’assiette</w:t>
      </w:r>
    </w:p>
    <w:p>
      <w:r>
        <w:t>- 11 - imposable en Suisse en vertu de l’art. 6 al. 3, 2ème phrase LIFD (PASCHOUD/DE VRIES REILINGH, op. cit., n° 32 ad art. 6 LIFD).</w:t>
      </w:r>
    </w:p>
    <w:p>
      <w:r>
        <w:rPr>
          <w:b/>
        </w:rPr>
        <w:t>E. 3.2</w:t>
      </w:r>
    </w:p>
    <w:p>
      <w:r>
        <w:t>La notion d'établissement stable au sens de l’art. 6 LIFD recouvre, selon la définition qu'en donne l'art. 4 al. 2 LIFD, toute installation fixe dans laquelle s'exerce tout ou partie de l'activité commerciale substantielle d'une entreprise ou d'une personne exerçant une profession libérale (arrêt du Tribunal fédéral 9C_368/2023 du 25 octobre 2023 consid. 10.1).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(art. 4 al. 2, 2ème phrase LIFD). Une activité ne remplit pas la qualification d’établissement stable lorsque l’entreprise dispose uniquement d’un immeuble de placement (OESTERHELT/SCHREIBER, op. cit., n° 29 ad art. 6 LIFD) ou d’un immeuble destiné à la vente d’un commerçant professionnel de l’immobilier ou d’une entreprise générale de construction, ce genre d’immeubles faisant partie des actifs circulants et ne constituant pas un établissement stable (PASCHOUD/DE VRIES REILINGH, op. cit., n° 46 ad art. 4 LIFD). L’activité exercée par un professionnel de l’immobilier ne constitue pas non plus un établissement stable au lieu de situation de l’immeuble (PASCHOUD/DE VRIES REILING, op. cit., n° 29p ad art. 6 LIFD). Il n’en va différemment que si le bien immobilier étranger doit être attribué à un établissement stable à l’étranger (OESTERHELT/SCHREIBER, op. cit., n° 29 ad art. 6 LIFD). En outre, pour qu'une installation commerciale puisse être considérée comme un établissement stable, il faut que l'entreprise qui l'utilise exerce tout ou partie de son activité par son intermédiaire (LOCHER, Kommentar zum Bundesgesetz über die direkte Bundessteuer, Teil I, 2ème éd. 2019, n° 31 ad art. 4 LIFD et les références). L’établissement stable étranger doit ainsi apparaître comme le prolongement international logique de l’activité commerciale de l’entreprise suisse (PASCHOUD/DE VRIES REILINGH, op. cit., n° 31 ad art. 6 LIFD).</w:t>
      </w:r>
    </w:p>
    <w:p>
      <w:r>
        <w:rPr>
          <w:b/>
        </w:rPr>
        <w:t>E. 3.3</w:t>
      </w:r>
    </w:p>
    <w:p>
      <w:r>
        <w:t>Le fardeau de la preuve de l'existence d'un établissement stable incombe au contribuable, puisque la reconnaissance d'une telle entité diminue l'assiette de l'impôt (arrêt du Tribunal fédéral 9C_368/2023 précité consid. 10.1).</w:t>
      </w:r>
    </w:p>
    <w:p>
      <w:r>
        <w:rPr>
          <w:b/>
        </w:rPr>
        <w:t>E. 3.4.1</w:t>
      </w:r>
    </w:p>
    <w:p>
      <w:r>
        <w:t>En l’occurrence, le fisc a refusé de reconnaître le bien immobilier de G _________ comme un établissement stable, et donc de déduire dans les taxations 2015 et 2016 les</w:t>
      </w:r>
    </w:p>
    <w:p>
      <w:r>
        <w:t>- 12 - pertes non absorbées lors de la taxation de la période fiscale 2014. Cette appréciation emporte la conviction. D’une part, l’on ne voit pas à quelle entreprise du recourant en Suisse un établissement stable à l’étranger pourrait être rattaché. En effet, s’agissant des revenus tirés de son activité indépendante, l’intéressé ne déclare que les loyers perçus de ses immeubles commerciaux à D _________. Il n’a en revanche déclaré aucune activité indépendante en tant que promoteur immobilier durant les périodes fiscales 2011 à 2019. Ainsi, ses allégations selon lesquelles il serait taxé fiscalement comme commerçant ou promoteur immobilier et aurait une entreprise de promotion immobilière en Suisse (cf. p. 10 et 11 du recours) ne peuvent pas être suivies. D’autre part, même si l’on devait admettre l’existence d’une entreprise du recourant en Suisse, la seule existence d’un bien immobilier en France, qu’il soit commercial ou privé, ne suffit pas pour admettre l’existence d’un établissement stable, comme on l’a vu plus haut. Le recourant objecte avoir déployé une activité très importante à G _________ en lien avec la recherche de biens immobiliers et de potentiels acquéreurs. Il aurait ainsi, selon ses dires, exercé de nombreuses activités de démarchage et de marketing. Toutefois, les comptes de pertes et profits produits à l’appui de ses déclarations d’impôts 2011 à 2019 ne présentent aucune dépense susceptible d’attester une telle activité entrepreneuriale (p. 211, 212, 215 et 218 du dossier du TC). Le recourant s’est en effet contenté de comptabiliser des pertes de valeurs et des taxes liées à sa maison en France – ainsi que des « frais d’exploitation » et de téléphone lors de la période fiscale 2014. Il ressort par ailleurs de l’attestation d’un promoteur immobilier sur place (R _________ de la société S _________) que le recourant ne souhaitait pas développer de nouvelles affaires immobilières à G _________ avant d’avoir revendu la maison dont il était déjà propriétaire. Au vu de ces éléments, il n’est pas possible de retenir que le recourant a entrepris une activité, substantielle, de promoteur immobilier à l’étranger. Sous cet angle, les pièces supplémentaires qu’il offre de produire (ses relevés de cartes de crédit, notamment) pour établir l’existence d’un établissement stable à l’étranger sont sans pertinence.</w:t>
      </w:r>
    </w:p>
    <w:p>
      <w:r>
        <w:rPr>
          <w:b/>
        </w:rPr>
        <w:t>E. 3.4.2</w:t>
      </w:r>
    </w:p>
    <w:p>
      <w:r>
        <w:t>Le recourant se prévaut également d’un arrêt du 22 décembre 2008 de la Cour de droit administratif et public du Tribunal cantonal vaudois (CDAP FI.2006.0073 consid. 3b), dans lequel l’existence d’un établissement stable à l’étranger avait été admise s’agissant d’une promotion immobilière, au vu de l'importance et de la durée du chantier (qui s’était étendu sur plusieurs années), des démarches entreprises par l’intéressé, de son bureau sur place, du personnel engagé et de la participation de l'intéressé à cette promotion. Cet arrêt ne lui est toutefois d’aucun secours. En effet, le contribuable en question exerçait une activité de promoteur immobilier et était imposé à</w:t>
      </w:r>
    </w:p>
    <w:p>
      <w:r>
        <w:t>- 13 - ce titre comme indépendant. Il avait participé en cette qualité à plusieurs projets et exploitait donc une « entreprise suisse » au sens de l'art. 6 al. 3, 2ème phrase LIFD (arrêt précité, consid. 3b). Le recourant n’est quant à lui parvenu à démontrer ni l’existence d’une entreprise de promotion immobilière en Suisse, ni celle de démarches entrepreneuriales substantielles en France, comme exposé ci-dessus. Le recourant ne peut non plus rien tirer de l’avis de droit du 2 juin 2017 du Professeur Henri Torrione annexé à son mémoire (p. 23 du dossier du TC), selon lequel sa maison en France constituerait bien un établissement stable. Cet avis s’appuie notamment sur le fait que le recourant avait comme fonction sur place le développement des opérations commerciales avec des clients potentiels et la recherche d’objets pouvant les intéresser (p. 20 du dossier du TC). Or, de tels éléments ne ressortent pas des déclarations d’impôts du recourant, dans la mesure où les comptes établis à ce titre n’attestent d’aucune activité s’apparentant à un développement commercial. Le dossier ne renferme pas non plus d’autres éléments accréditant cet état de fait. En outre, l’avis de droit n’indique pas à quelle entreprise du recourant en Suisse l’établissement stable devait être rattaché, évoquant uniquement que l’intéressé était actif dans de nombreuses opérations immobilières (p. 20 et 22 du dossier du TC), ce qui ne ressort cependant pas du dossier.</w:t>
      </w:r>
    </w:p>
    <w:p>
      <w:r>
        <w:rPr>
          <w:b/>
        </w:rPr>
        <w:t>E. 3.4.3</w:t>
      </w:r>
    </w:p>
    <w:p>
      <w:r>
        <w:t>Le recourant ne saurait davantage se prévaloir du fait que le fisc avait admis l’existence d’un établissement stable lors des taxations des périodes fiscales 2010 à 2014. En effet, selon le principe de l'étanchéité des périodes fiscales, l'autorité n'est pas liée pour l'avenir par une taxation notifiée pour une période fiscale déterminée ; à défaut, elle risquerait de se trouver indéfiniment liée par une erreur ou une omission qu'elle aurait pu commettre initialement (ATF 147 II 155 consid. 10.5.1). Ainsi, nonobstant le fait que les pertes avaient été admises en déduction de l’assiette imposable lors des périodes antérieures, le SCC était en droit d’apprécier la question différemment s’agissant des taxations 2015 à 2019, après avoir constaté que les décisions antérieures avaient fait l’objet d’une interprétation juridique erronée. En outre, contrairement à ce qu’affirme le recourant, cette nouvelle appréciation n’aura pas pour conséquence que les taxations des périodes antérieures, entrées en force, seront modifiées. L’arrêt du 22 juin 2023 de la CCR retient d’ailleurs précisément qu’une telle conséquence ne serait possible qu’en présence d’un motif de rappel d’impôt, condition qui n’est pas réalisée en l’espèce. Partant, l’on ne décèle en l’occurrence aucune violation du principe de l’autorité de chose jugée.</w:t>
      </w:r>
    </w:p>
    <w:p>
      <w:r>
        <w:t>- 14 -</w:t>
      </w:r>
    </w:p>
    <w:p>
      <w:r>
        <w:rPr>
          <w:b/>
        </w:rPr>
        <w:t>E. 3.4.4</w:t>
      </w:r>
    </w:p>
    <w:p>
      <w:r>
        <w:t>En définitive, dans la mesure où le recourant n’exploite aucune entreprise en Suisse et où sa maison en France ne constitue pas un établissement stable, il ne peut pas déduire de ses revenus imposables 2015 et 2016 les pertes non absorbées dans la taxation de la période fiscale 2014. Du reste, la Convention du 9 septembre 1966 entre la Suisse et la France en vue d'éliminer les doubles impositions en matière d'impôts sur le revenu et sur la fortune et de prévenir la fraude et l'évasion fiscale (CDI CH-FR) n’amène pas à une autre solution. Elle ne prévoit en effet aucune disposition relative à la prise en considération des pertes subies à l'étranger autres que celles provenant d'un établissement stable (cf. art. 7 CDI CH-FR ; arrêt du Tribunal fédéral 2C_729/2019 du</w:t>
      </w:r>
    </w:p>
    <w:p>
      <w:r>
        <w:rPr>
          <w:b/>
        </w:rPr>
        <w:t>E. 7</w:t>
      </w:r>
    </w:p>
    <w:p>
      <w:r>
        <w:t>Le recourant conteste la correction liée à la valeur locative de son appartement à C _________, faisant valoir que l’administration fiscale vaudoise avait admis le montant déclaré.</w:t>
      </w:r>
    </w:p>
    <w:p>
      <w:r>
        <w:rPr>
          <w:b/>
        </w:rPr>
        <w:t>E. 7.1</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w:t>
      </w:r>
    </w:p>
    <w:p>
      <w:r>
        <w:rPr>
          <w:b/>
        </w:rPr>
        <w:t>E. 7.2</w:t>
      </w:r>
    </w:p>
    <w:p>
      <w:r>
        <w:t>En l’occurrence, le recourant a déclaré pour les périodes fiscales 2015 à 2019 une valeur locative de 6400 fr. pour son appartement à C _________, que le fisc a rectifiée à 17’280 francs. Le recourant a pour la première fois contesté cet élément dans son recours du 8 février 2023 devant la CCR. L’autorité intimée n’a cependant formulé aucune observation à ce sujet durant la procédure de recours. Le dossier ne permet quant à lui pas de déterminer pour quels motifs cette reprise a été opérée. Partant, eu égard au fait qu’il appartenait au fisc de justifier cette correction, il se justifie d’annuler celle-ci et d’admettre le grief y relatif. Frais médicaux</w:t>
      </w:r>
    </w:p>
    <w:p>
      <w:r>
        <w:rPr>
          <w:b/>
        </w:rPr>
        <w:t>E. 8</w:t>
      </w:r>
    </w:p>
    <w:p>
      <w:r>
        <w:t>Le recourant conteste le refus du fisc d’admettre les frais médicaux déclarés pour la période fiscale 2016.</w:t>
      </w:r>
    </w:p>
    <w:p>
      <w:r>
        <w:rPr>
          <w:b/>
        </w:rPr>
        <w:t>E. 8.1</w:t>
      </w:r>
    </w:p>
    <w:p>
      <w:r>
        <w:t>Selon l’art. 33 al. 1 LIFD, sont déduits du revenu les frais provoqués par la maladie et les accidents du contribuable, lorsque celui-ci supporte lui-même ces frais et que ceux-ci excèdent 5 % des revenus imposables diminués des déductions prévues aux art. 26 à 33 (let. h), ainsi que les frais liés au handicap du contribuable lorsqu’il est handicapé au sens de la LHand et qu’il supporte lui-même les frais (let. hbis).</w:t>
      </w:r>
    </w:p>
    <w:p>
      <w:r>
        <w:rPr>
          <w:b/>
        </w:rPr>
        <w:t>E. 8.2</w:t>
      </w:r>
    </w:p>
    <w:p>
      <w:r>
        <w:t>En l’espèce, le recourant a déduit dans sa déclaration d’impôt 2016 un montant de 4693 fr. à titre de frais de maladie et de guérison, ainsi que 5000 fr. à titre de frais liés à un handicap (p. 221 du dossier du SCC). Le fisc a refusé les frais liés au handicap au</w:t>
      </w:r>
    </w:p>
    <w:p>
      <w:r>
        <w:t>- 19 - motif qu’ils n’étaient pas justifiés par une impotence attestée. A cet égard, il ne ressort effectivement pas du dossier que le recourant présenterait un handicap permettant d’admettre la déduction y relative. L’intéressé n’a d’ailleurs nullement tenté de démontrer le contraire, de sorte que la reprise opérée à ce titre doit être confirmée. S’agissant des frais médicaux proprement dits, leur montant n’excède manifestement pas le 5% du revenu imposable après diminution des déductions légales (soit 256’165 [260’263 -1548 -2550], cf. p. 33 du dossier du SCC), y compris si la correction apportée à la valeur locative de l’appartement vaudois (10’880 fr.) n’est pas prise en compte (cf. supra consid. 7.2). Ces frais médicaux ne sont donc pas déductibles. Le grief y relatif doit donc être rejeté. III. Impôts cantonaux et communaux</w:t>
      </w:r>
    </w:p>
    <w:p>
      <w:r>
        <w:rPr>
          <w:b/>
        </w:rPr>
        <w:t>E. 9.1</w:t>
      </w:r>
    </w:p>
    <w:p>
      <w:r>
        <w:t>Concernant la déduction des pertes subies à l’étranger de l’assiette de l’impôt, l’art. 5 al. 3 LF reprend les règles de l’art. 6 al. 3 LIFD. Partant, selon la jurisprudence, il convient de se référer à la motivation développée en matière d’impôt fédéral direct (ATF 140 II 141 consid. 8).</w:t>
      </w:r>
    </w:p>
    <w:p>
      <w:r>
        <w:rPr>
          <w:b/>
        </w:rPr>
        <w:t>E. 9.2</w:t>
      </w:r>
    </w:p>
    <w:p>
      <w:r>
        <w:t>La notion d’activité lucrative indépendante en droit fiscal harmonisé doit être interprétée de la même manière qu’en droit fédéral (art. 8 LHID ; art. 14 LF ; arrêt du Tribunal fédéral 2C_339/2020 du 5 janvier 2021 consid. 11). L’art. 7 al. 1 LHID, concrétisé à l’art. 17 al. 1 let. b LF, oblige également les cantons à imposer la valeur locative de l’habitation du contribuable dans son propre immeuble. En outre, les règles relatives au fardeau de la preuve s'appliquent aussi en droit cantonal (arrêt du Tribunal fédéral 2C_582/2017 du 23 février 2018 consid. 8.3). Il peut ainsi être renvoyé à la motivation développée en matière d'impôt fédéral direct s’agissant des frais comptabilisés au titre de l’activité indépendante et à la valeur locative des biens immobiliers français et vaudois. Frais médicaux</w:t>
      </w:r>
    </w:p>
    <w:p>
      <w:r>
        <w:rPr>
          <w:b/>
        </w:rPr>
        <w:t>E. 10</w:t>
      </w:r>
    </w:p>
    <w:p>
      <w:r>
        <w:t>L’art. 29 al. 1 let. j LF prévoit que sont déduits du revenu les frais provoqués par la maladie ou les accidents du contribuable ou d'une personne à l'entretien de laquelle il subvient, lorsque la personne contribuable supporte elle-même ces frais et que ceux-ci excèdent 2 % des revenus imposables diminués des déductions prévues aux articles 22 à 29 LF (cf. ég. art. 9 al. 2 let. h LHID). En l’occurrence, les frais médicaux déduits par le recourant en 2016 (4693 fr.) n’excèdent pas le 2 % de son revenu imposable après diminution des déductions légales (soit 256’489 [260’263 -774 -3000], cf. p. 33 du</w:t>
      </w:r>
    </w:p>
    <w:p>
      <w:r>
        <w:t>- 20 - dossier du SCC), y compris si la correction apportée à la valeur locative de l’appartement vaudois (10’880 fr.) n’est pas prise en compte (cf. supra consid. 7.2). Ces frais médicaux ne sont donc pas non plus déductibles en matière d’ICC. Quant aux frais de handicap, l’art. 9 al. 2 let. hbis LHID correspond à l’art. 33 al. 1 let. hbis LIFD et a été repris à l’art. 29 al. 1 let. k LF. Il convient partant de se référer à la motivation développée en matière d’impôt fédéral direct. Comptes bancaires</w:t>
      </w:r>
    </w:p>
    <w:p>
      <w:r>
        <w:rPr>
          <w:b/>
        </w:rPr>
        <w:t>E. 11.1</w:t>
      </w:r>
    </w:p>
    <w:p>
      <w:r>
        <w:t>Le recourant conteste les reprises opérées sur sa fortune relativement à plusieurs comptes bancaires, arguant qu’ils étaient déjà compris dans un compte-courant déclaré régulièrement vis-à-vis de E _________ SA.</w:t>
      </w:r>
    </w:p>
    <w:p>
      <w:r>
        <w:rPr>
          <w:b/>
        </w:rPr>
        <w:t>E. 11.2</w:t>
      </w:r>
    </w:p>
    <w:p>
      <w:r>
        <w:t>Il ressort effectivement des bilans 2015 à 2019 de E _________ SA que deux comptes bancaires ouverts au nom du recourant (auprès de la P _________ et de la M _________) figurent au bilan de la société, pour des montants allant de quelque 180’000 fr. à 390’000 francs. Il ressort également du dossier que le recourant a dûment déclaré son compte-courant actionnaire vis-à-vis d’E _________ SA (p. 83, 93, 102, 112, 122 du dossier du TC). Sa créance envers cette société y figurait pour les montants suivants (en francs) : Libellé 2015 2016 2017 2018 2019 E _________ SA CC 6’077’815 6’068’707 5’914’860 2’870’042 2’646’221 Toutefois, en l’état du dossier, aucun élément ne permet d’attester que les avoirs du recourant auprès de la P _________ et de la M _________ sont compris dans son compte-courant actionnaire vis-à-vis de la société, le recourant n’ayant pas tenté de démontrer que tel était le cas. L’extrait du compte-courant actionnaire pour la période 2019 ne permet notamment pas d’en tirer une telle conclusion (p. 80 du dossier du SCC). En outre, les montants des comptes bancaires figurant au bilan de E _________ SA ne correspondent pas à ceux repris par le fisc – dont les chiffres n’ont du reste pas été contestés par le contribuable. Force est donc de constater que le recourant n’a pas apporté la preuve que ces avoirs sont compris dans sa créance vis à vis d’E _________ SA, comme il lui appartenait de le faire. Il n’est dès lors pas possible de retenir qu’il a été imposé à double sur ces montants, tel qu’il le soutient. En outre, le seul fait que la société a inscrit ces avoirs à son bilan ne peut avoir pour conséquence qu’ils ne doivent pas être</w:t>
      </w:r>
    </w:p>
    <w:p>
      <w:r>
        <w:t>- 21 - imposés dans le chef du recourant, puisque ce dernier en est le titulaire. Dès lors, le grief y relatif doit être rejeté. Bateau et or</w:t>
      </w:r>
    </w:p>
    <w:p>
      <w:r>
        <w:rPr>
          <w:b/>
        </w:rPr>
        <w:t>E. 12.1</w:t>
      </w:r>
    </w:p>
    <w:p>
      <w:r>
        <w:t>Le recourant requiert qu’un montant de 300’000 fr. soit déduit des reprises opérées dans la rubrique « autre fortune » s’agissant des onces d’or et du bateau acquis en 2011.</w:t>
      </w:r>
    </w:p>
    <w:p>
      <w:r>
        <w:rPr>
          <w:b/>
        </w:rPr>
        <w:t>E. 12.2</w:t>
      </w:r>
    </w:p>
    <w:p>
      <w:r>
        <w:t>A teneur du dossier, il apparaît que le recourant a régulièrement déclaré un montant de 300’000 fr. dans la rubrique « autre fortune » de ses déclarations d’impôts 2010 à 2015. Dans la mesure où, en 2017, il a spontanément annoncé au fisc qu’il était propriétaire de 100 onces d’or et d’un bateau depuis 2011, dans le cadre de discussions consécutives à sa dénonciation spontanée portant sur d’autres éléments de fortune, il a reconnu par là qu’il n’avait pas auparavant déclaré ces éléments. Partant, l’appréciation du fisc selon laquelle le montant de 300’000 fr. ne comprenait pas l’or et le bateau ne prête pas le flanc à la critique. Cela étant, l’on constate que, nonobstant cette annonce spontanée, le recourant a continué à déclarer seulement 300’000 fr. dans la rubrique « autre fortune » de ses déclarations d’impôts 2016 à 2019. C’est donc à juste titre que le fisc y a ajouté la valeur de l’or et du bateau. Le recourant argue qu’il serait « raisonnable » de retenir que le montant de 300’000 fr. comprenait au moins partiellement l’or et le bateau. Aucun élément du dossier ne vient cependant étayer cette position. Il appartenait notamment au recourant d’indiquer quels étaient les éléments de fortune compris dans ce montant ou utilisés pour acquérir l’or et le bateau. Il n’a toutefois entrepris aucune démonstration dans ce sens (cf. ég. arrêt de la CCR du 22 juin 2023 consid. 6). Le recours doit donc être rejeté sur ce point. Valeur fiscale de la maison en France</w:t>
      </w:r>
    </w:p>
    <w:p>
      <w:r>
        <w:rPr>
          <w:b/>
        </w:rPr>
        <w:t>E. 13.1</w:t>
      </w:r>
    </w:p>
    <w:p>
      <w:r>
        <w:t>Le recourant conteste la valeur fiscale retenue pour son bien immobilier français (3’492’000 fr.), faisant valoir que la valeur comptable est déterminante pour les immeubles commerciaux (3’000’000 fr.).</w:t>
      </w:r>
    </w:p>
    <w:p>
      <w:r>
        <w:rPr>
          <w:b/>
        </w:rPr>
        <w:t>E. 13.2</w:t>
      </w:r>
    </w:p>
    <w:p>
      <w:r>
        <w:t>En l’occurrence, la maison de G _________ doit être attribuée à la fortune privée du recourant, comme on l’a vu plus haut (cf. supra consid. 4.3). Le grief de celui-ci s’avère donc d’emblée inopérant. Au demeurant, même si le bien immobilier devait être qualifié de commercial, c’est à juste titre que le fisc a retenu la valeur vénale comme fiscalement déterminante. En effet, conformément à l’art. 14 al. 1, 1ère phrase LHID, la</w:t>
      </w:r>
    </w:p>
    <w:p>
      <w:r>
        <w:t>- 22 - fortune est estimée à la valeur vénale (cf. ég. art. 55 al. 1 LF). Selon la jurisprudence, cette règle s’applique même si les biens immobiliers appartiennent à la fortune commerciale du contribuable (art. 14 al. 3 LHID a contrario). Ainsi, la question de savoir si un bien immobilier relève de la fortune privée ou commerciale d'une personne physique est sans importance pour son estimation sous l'angle de l'impôt sur la fortune (ATF 134 II 207 consid. 3.5 ; arrêt du Tribunal fédéral 2C_66/2020 du 8 juin 2020 consid. 3.2). Pour le reste, le recourant ne prétend pas que la valeur fiscale retenue par le fisc serait objectivement supérieure à la valeur vénale de l'immeuble au sens des art. 14 al. 1 LHID et 55 al. 1 LF. Cet ultime grief doit donc être rejeté. IV. Conclusion, frais et dépens</w:t>
      </w:r>
    </w:p>
    <w:p>
      <w:r>
        <w:rPr>
          <w:b/>
        </w:rPr>
        <w:t>E. 14</w:t>
      </w:r>
    </w:p>
    <w:p>
      <w:r>
        <w:t>Sur le vu de ce qui précède, le recours est très partiellement admis en matière d’IFD et d’ICC. La décision sur réclamation de la CIPP doit être réformée en ce sens que la valeur locative du bien immobilier vaudois est fixée à 6400 fr. pour les périodes fiscales 2015 à 2019. Ce prononcé est confirmé pour le reste (art. 150 al. 3 LF ; 80 al. 1 let. et 60 al. 1 LPJA).</w:t>
      </w:r>
    </w:p>
    <w:p>
      <w:r>
        <w:rPr>
          <w:b/>
        </w:rPr>
        <w:t>E. 15.1</w:t>
      </w:r>
    </w:p>
    <w:p>
      <w:r>
        <w:t>Le sort du procès commande de faire supporter au recourant un émolument de justice réduit d’un cinquième, à 1600 fr. (art. 144 LIFD ; art. 8 LALIFD ; art. 150 al. 3 LF ; art. 88 al. 2, 89 al. 1 LPJA ; art. 3 al. 3, 11, 13 al. 1 et 25 LTar).</w:t>
      </w:r>
    </w:p>
    <w:p>
      <w:r>
        <w:rPr>
          <w:b/>
        </w:rPr>
        <w:t>E. 15.2</w:t>
      </w:r>
    </w:p>
    <w:p>
      <w:r>
        <w:t>Le recourant, qui a pris une conclusion dans ce sens, a droit à des dépens réduits à charge du fisc (art. 150 al. 3 LF ; art. 144 al. 4 LIFD et 64 al. 1 PA ; art. 91 al. 1 LPJA). Cette indemnité est fixée à 400 fr. (débours et TVA inclus) au vu notamment du travail effectué par le conseil juridique du recourant, qui a consisté principalement en la rédaction d’un mémoire de recours de 21 pages et de deux déterminations complémentaires (art. 150 al. 3 LF et 4, 27 et 39 LTar).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